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Tytuł: </w:t>
      </w:r>
      <w:r w:rsidRPr="00E47313">
        <w:rPr>
          <w:rFonts w:ascii="Arial" w:eastAsia="Times New Roman" w:hAnsi="Arial" w:cs="Arial"/>
          <w:color w:val="000000"/>
          <w:lang w:eastAsia="pl-PL"/>
        </w:rPr>
        <w:t>20 lat po akcesji Polski do UE - transformacje i wyzwania na rynku finansowym</w:t>
      </w:r>
      <w:r w:rsidRPr="00E47313">
        <w:rPr>
          <w:rFonts w:ascii="Arial" w:eastAsia="Times New Roman" w:hAnsi="Arial" w:cs="Arial"/>
          <w:color w:val="000000"/>
          <w:lang w:eastAsia="pl-PL"/>
        </w:rPr>
        <w:br/>
        <w:t xml:space="preserve">27. Banking Forum i 23.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Insurance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Forum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Już 4 - 5 kwietnia 2024 r. w hotelu The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Westin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Warsaw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odbędzie się</w:t>
      </w:r>
      <w:hyperlink r:id="rId5" w:history="1">
        <w:r w:rsidRPr="00E47313">
          <w:rPr>
            <w:rFonts w:ascii="Arial" w:eastAsia="Times New Roman" w:hAnsi="Arial" w:cs="Arial"/>
            <w:color w:val="000000"/>
            <w:u w:val="single"/>
            <w:lang w:eastAsia="pl-PL"/>
          </w:rPr>
          <w:t xml:space="preserve"> </w:t>
        </w:r>
        <w:r w:rsidRPr="00E47313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27. Banking Forum &amp; 23. </w:t>
        </w:r>
        <w:proofErr w:type="spellStart"/>
        <w:r w:rsidRPr="00E47313">
          <w:rPr>
            <w:rFonts w:ascii="Arial" w:eastAsia="Times New Roman" w:hAnsi="Arial" w:cs="Arial"/>
            <w:color w:val="1155CC"/>
            <w:u w:val="single"/>
            <w:lang w:eastAsia="pl-PL"/>
          </w:rPr>
          <w:t>Insurance</w:t>
        </w:r>
        <w:proofErr w:type="spellEnd"/>
        <w:r w:rsidRPr="00E47313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Forum</w:t>
        </w:r>
      </w:hyperlink>
      <w:r w:rsidRPr="00E47313">
        <w:rPr>
          <w:rFonts w:ascii="Arial" w:eastAsia="Times New Roman" w:hAnsi="Arial" w:cs="Arial"/>
          <w:color w:val="000000"/>
          <w:lang w:eastAsia="pl-PL"/>
        </w:rPr>
        <w:t>. Liderzy świata finansów spotkają się, aby przedyskutować priorytety oraz wyzwania  sektora bankowego i ubezpieczeniowego w Polsce na 2024 rok.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>Kongres zainauguruje debata “20-lecie Polski w Unii Europejskiej”, podczas której eksperci przeanalizują wyzwania, które stały przed branżą finansową 20 lat temu oraz porównają dawne prognozy z realizacją. Poruszą wątki takie jak m.in. postęp rynku finansowego Polski po 20 latach od przystąpienia do UE, analizując zmiany w sektorze bankowym i ubezpieczeniowym, pozycję Polski na rynku europejskim, przyczyny nieprzyjęcia euro, przyszłość Polski w Unii oraz wpływ Państwa na sektor bankowy.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Następnie akcent zostanie przeniesiony na budowanie konkurencyjności w rzeczywistości cyfrowej. Prelegenci omówią rozwój nowoczesnych produktów finansowych w cyfrowej gospodarce, technologie zmieniające strategie biznesowe, bariery we wdrażaniu innowacji, budowę ekosystemów bankowych, modernizację regulacji dla innowacji, współpracę w ekonomii współdzielenia oraz wyzwania związane z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cyberbezpieczeństwem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i ochroną danych klientów. Eksperci skomentują także perspektywy rozwoju polskiego rynku ubezpieczeniowego i bankowego do 2030 r. m.in. dynamika rozwoju oraz regulacje ubezpieczeniowe i bankowe w Polsce na tle </w:t>
      </w:r>
      <w:proofErr w:type="spellStart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>best</w:t>
      </w:r>
      <w:proofErr w:type="spellEnd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>practices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rynków zagranicznych, kierunki wyjścia ze stagnacji rozwoju rynku ubezpieczeniowego oraz możliwości wejścia nowych inwestorów zagranicznych na rynek polski. Nie zabraknie wątku dotyczącego klienta  –   adaptacji sektora finansowego do różnych pokoleń, integracji ubezpieczeń z aplikacjami bankowymi, poprawy doświadczeń mobilnych użytkowników, strategii ochrony interesów konsumenta oraz wpływu aplikacji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mObywatel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na dystrybucję w sektorze ubezpieczeń i bankowości. 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Dzień drugi kongresu rozpoczęty zostanie od dyskusji dotyczącej zwiększenia udziału kobiet w sektorze finansowym oraz strategii redukcji nierówności płacowych w kontekście </w:t>
      </w:r>
      <w:proofErr w:type="spellStart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>gender</w:t>
      </w:r>
      <w:proofErr w:type="spellEnd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>pay</w:t>
      </w:r>
      <w:proofErr w:type="spellEnd"/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 xml:space="preserve"> gap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Paneliści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omówią metody przeciwdziałania stereotypom płciowym, dążąc do promocji równości płci w finansach oraz przedstawią przykłady dobrych praktyk pracodawców w tworzeniu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inkluzywnych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środowisk pracy.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lastRenderedPageBreak/>
        <w:t xml:space="preserve">Podczas debaty poświęconej wykorzystaniu </w:t>
      </w:r>
      <w:r w:rsidRPr="00E47313">
        <w:rPr>
          <w:rFonts w:ascii="Arial" w:eastAsia="Times New Roman" w:hAnsi="Arial" w:cs="Arial"/>
          <w:i/>
          <w:iCs/>
          <w:color w:val="000000"/>
          <w:lang w:eastAsia="pl-PL"/>
        </w:rPr>
        <w:t>open data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 i AI w bankowości prelegenci przeanalizują tworzenie bezpiecznego i etycznego AI w finansach,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hiperpersonalizację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i związane z nią ryzyka oraz bariery, wykorzystanie AI w zarządzaniu ryzykiem, adaptację technologii chmurowych do nowych modeli zarządzania danymi, potencjał generatywnej sztucznej inteligencji w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monetyzacji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i budowie modeli, rolę danych w strategiach AI instytucji finansowych oraz konkretne zastosowania AI w bankowości. 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>W kolejnej części wydarzenie podzielone zostanie na dwie ścieżki tematyczne: bankową i ubezpieczeniową. Eksperci sektora bankowego pochylą się nad nierozwiązanymi problemami polskiej bankowości: zmniejszaniem się sektora bankowego w stosunku do wielkości gospodarki, problemami regulacyjnymi i prawnymi oraz strategiami ich akceptacji, stabilnością finansową i zaostrzaniem polityki pieniężnej oraz wnioskami z kryzysów finansowych. 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>Prelegenci poruszą zagadnienia związane z rynkiem kapitałowym w Polsce i Europie m.in. strategie ożywienia polskiego rynku kapitałowego i zwiększenia jego roli w finansowaniu gospodarki, przyszłość IPO w Polsce i przyciąganie nowych emitentów na GPW oraz sposoby zwiększenia finansowania inwestycji w Europie poprzez rynek kapitałowy. Omówione zostaną też kwestie automatyzacji procesów w bankach oraz jej nowych wyzwaniach i perspektywach w obsłudze klientów. Przeanalizowane zostaną kwestie takie jak eliminacja papierowej dokumentacji, bezpieczeństwo przed cyberatakami, wpływ mobilnego dostępu na efektywność procesów bankowych oraz narzędzia umożliwiające klientom śledzenie postępu ich wniosków czy transakcji w kredytach hipotecznych.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>Część ubezpieczeniowa rozpocznie się od rozmowy na temat zderzenia świata ubezpieczycieli i pośredników w kontekście cyfryzacji. Omówione zostaną aspekty relacji z klientem w erze cyfryzacji, w tym preferencje klientów dotyczące interakcji z ubezpieczycielami i pośrednikami. Dyskusja skoncentruje się również na wpływie nowych technologii na sposób, w jaki ubezpieczyciele i pośrednicy obsługują klientów oraz na zmiany w oczekiwaniach i potrzebach klientów w zakresie usług ubezpieczeniowych.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Ważnym tematem 23.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Insurance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Forum będzie rola ubezpieczeń w systemie ochrony zdrowia w Polsce. Omówione zostaną kwestie związane z prywatnie finansowaną częścią systemu opieki zdrowotnej i jej uzupełnieniem dla systemu finansowanego ze środków publicznych.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Paneliści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będą dyskutować nad optymalnym systemem finansowania opieki zdrowotnej, uwzględniając rolę finansowania prywatnego i zakładów ubezpieczeń. Ponadto poruszona zostanie perspektywa rozwoju rynku ubezpieczeń zdrowotnych w najbliższych pięciu latach, </w:t>
      </w:r>
      <w:r w:rsidRPr="00E47313">
        <w:rPr>
          <w:rFonts w:ascii="Arial" w:eastAsia="Times New Roman" w:hAnsi="Arial" w:cs="Arial"/>
          <w:color w:val="000000"/>
          <w:lang w:eastAsia="pl-PL"/>
        </w:rPr>
        <w:lastRenderedPageBreak/>
        <w:t>główne wyzwania systemu opieki zdrowotnej i sposoby, w jakie sektor ubezpieczeń może na nie reagować. Zakończenie Forum stanowić będzie dyskusja o ewolucja dystrybucji ubezpieczeń, zostaną omówione kwestie przygotowania sektora ubezpieczeniowego na obsługę "maszynowych klientów", zmian w sposobie wyszukiwania ofert ubezpieczeniowych, roli sztucznej inteligencji i automatyzacji w sprzedaży oraz dostosowywania ofert do indywidualnych potrzeb klientów przy użyciu analizy danych i personalizacji.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6" w:history="1">
        <w:r w:rsidRPr="00E47313">
          <w:rPr>
            <w:rStyle w:val="Hipercze"/>
            <w:rFonts w:ascii="Arial" w:eastAsia="Times New Roman" w:hAnsi="Arial" w:cs="Arial"/>
            <w:lang w:eastAsia="pl-PL"/>
          </w:rPr>
          <w:t xml:space="preserve">prelegentów 27. Banking Forum &amp; 23. </w:t>
        </w:r>
        <w:proofErr w:type="spellStart"/>
        <w:r w:rsidRPr="00E47313">
          <w:rPr>
            <w:rStyle w:val="Hipercze"/>
            <w:rFonts w:ascii="Arial" w:eastAsia="Times New Roman" w:hAnsi="Arial" w:cs="Arial"/>
            <w:lang w:eastAsia="pl-PL"/>
          </w:rPr>
          <w:t>Insurance</w:t>
        </w:r>
        <w:proofErr w:type="spellEnd"/>
        <w:r w:rsidRPr="00E47313">
          <w:rPr>
            <w:rStyle w:val="Hipercze"/>
            <w:rFonts w:ascii="Arial" w:eastAsia="Times New Roman" w:hAnsi="Arial" w:cs="Arial"/>
            <w:lang w:eastAsia="pl-PL"/>
          </w:rPr>
          <w:t xml:space="preserve"> Forum</w:t>
        </w:r>
      </w:hyperlink>
      <w:r w:rsidRPr="00E47313">
        <w:rPr>
          <w:rFonts w:ascii="Arial" w:eastAsia="Times New Roman" w:hAnsi="Arial" w:cs="Arial"/>
          <w:lang w:eastAsia="pl-PL"/>
        </w:rPr>
        <w:t xml:space="preserve"> udział potwierdzili </w:t>
      </w:r>
      <w:r w:rsidRPr="00E47313">
        <w:rPr>
          <w:rFonts w:ascii="Arial" w:eastAsia="Times New Roman" w:hAnsi="Arial" w:cs="Arial"/>
          <w:color w:val="000000"/>
          <w:lang w:eastAsia="pl-PL"/>
        </w:rPr>
        <w:t>m.in.: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Beata Stelmach</w:t>
      </w:r>
      <w:r w:rsidRPr="00E47313">
        <w:rPr>
          <w:rFonts w:ascii="Arial" w:eastAsia="Times New Roman" w:hAnsi="Arial" w:cs="Arial"/>
          <w:color w:val="000000"/>
          <w:lang w:eastAsia="pl-PL"/>
        </w:rPr>
        <w:t>, Członek Rady Nadzorczej, Bank Millennium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dr Małgorzata Bonikowska,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 Prezes, Centrum Stosunków Międzynarodowych; Adiunkt, Centrum Europejskie Uniwersytetu Warszawskiego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Cezary Stypułkowski</w:t>
      </w:r>
      <w:r w:rsidRPr="00E47313">
        <w:rPr>
          <w:rFonts w:ascii="Arial" w:eastAsia="Times New Roman" w:hAnsi="Arial" w:cs="Arial"/>
          <w:color w:val="000000"/>
          <w:lang w:eastAsia="pl-PL"/>
        </w:rPr>
        <w:t>, Prezes Zarządu, mBank</w:t>
      </w:r>
      <w:bookmarkStart w:id="0" w:name="_GoBack"/>
      <w:bookmarkEnd w:id="0"/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Zbigniew Jagiełło</w:t>
      </w:r>
      <w:r w:rsidRPr="00E47313">
        <w:rPr>
          <w:rFonts w:ascii="Arial" w:eastAsia="Times New Roman" w:hAnsi="Arial" w:cs="Arial"/>
          <w:color w:val="000000"/>
          <w:lang w:eastAsia="pl-PL"/>
        </w:rPr>
        <w:t>, Współprzewodniczący Rady Programowej Banking Forum/menedżer, strateg, innowator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Elisabetta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Falcetti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Regional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of Poland and the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Baltic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States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European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Bank for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Reconstruction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and Development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Marcin 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Nedwidek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7313">
        <w:rPr>
          <w:rFonts w:ascii="Arial" w:eastAsia="Times New Roman" w:hAnsi="Arial" w:cs="Arial"/>
          <w:color w:val="000000"/>
          <w:lang w:eastAsia="pl-PL"/>
        </w:rPr>
        <w:t>Prezes Zarządu, UNIQA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Grzegorz Olszewski, </w:t>
      </w:r>
      <w:r w:rsidRPr="00E47313">
        <w:rPr>
          <w:rFonts w:ascii="Arial" w:eastAsia="Times New Roman" w:hAnsi="Arial" w:cs="Arial"/>
          <w:color w:val="000000"/>
          <w:lang w:eastAsia="pl-PL"/>
        </w:rPr>
        <w:t>Prezes Zarządu, Alior Bank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Magdalena Macko-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Gizińska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, Członek Zarządu ds. Relacji z klientami,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Nationale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Nederlanden</w:t>
      </w:r>
      <w:proofErr w:type="spellEnd"/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Magdalena 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Proga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-Stępień</w:t>
      </w:r>
      <w:r w:rsidRPr="00E47313">
        <w:rPr>
          <w:rFonts w:ascii="Arial" w:eastAsia="Times New Roman" w:hAnsi="Arial" w:cs="Arial"/>
          <w:color w:val="000000"/>
          <w:lang w:eastAsia="pl-PL"/>
        </w:rPr>
        <w:t>, Członkini Zarządu, Pion Bankowości Detalicznej, Santander Bank Polska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Dariusz 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Standerski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7313">
        <w:rPr>
          <w:rFonts w:ascii="Arial" w:eastAsia="Times New Roman" w:hAnsi="Arial" w:cs="Arial"/>
          <w:color w:val="000000"/>
          <w:lang w:eastAsia="pl-PL"/>
        </w:rPr>
        <w:t>Sekretarz Stanu, Ministerstwo Cyfryzacji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Lucyna Stańczak-Wuczyńska, 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Przewodnicząca, członkini niezależna Rady Nadzorczej, BNP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Paribas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Bank Polska S.A.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Aneta Podyma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, Prezes Zarządu,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Unum</w:t>
      </w:r>
      <w:proofErr w:type="spellEnd"/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Elżbieta Czetwertyńska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, Prezes Zarządu,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Citi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Handlowy</w:t>
      </w:r>
    </w:p>
    <w:p w:rsidR="00E47313" w:rsidRPr="00E47313" w:rsidRDefault="00E47313" w:rsidP="00E47313">
      <w:pPr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Tadeusz Białek</w:t>
      </w:r>
      <w:r w:rsidRPr="00E47313">
        <w:rPr>
          <w:rFonts w:ascii="Arial" w:eastAsia="Times New Roman" w:hAnsi="Arial" w:cs="Arial"/>
          <w:color w:val="000000"/>
          <w:lang w:eastAsia="pl-PL"/>
        </w:rPr>
        <w:t>, Prezes Zarządu, Związek Banków Polskich</w:t>
      </w:r>
    </w:p>
    <w:p w:rsidR="00E47313" w:rsidRPr="00E47313" w:rsidRDefault="00E47313" w:rsidP="00E47313">
      <w:pPr>
        <w:numPr>
          <w:ilvl w:val="0"/>
          <w:numId w:val="5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Aleksandra Friedel, 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Prezes Zarządu,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Unilink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w Polsce</w:t>
      </w:r>
    </w:p>
    <w:p w:rsidR="00E47313" w:rsidRPr="00E47313" w:rsidRDefault="00E47313" w:rsidP="00E47313">
      <w:pPr>
        <w:numPr>
          <w:ilvl w:val="0"/>
          <w:numId w:val="6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Sławomir Łopalewski</w:t>
      </w:r>
      <w:r w:rsidRPr="00E47313">
        <w:rPr>
          <w:rFonts w:ascii="Arial" w:eastAsia="Times New Roman" w:hAnsi="Arial" w:cs="Arial"/>
          <w:color w:val="000000"/>
          <w:lang w:eastAsia="pl-PL"/>
        </w:rPr>
        <w:t>, Dyrektor Zarządzający, LUX MED Ubezpieczenia</w:t>
      </w:r>
    </w:p>
    <w:p w:rsidR="00E47313" w:rsidRPr="00E47313" w:rsidRDefault="00E47313" w:rsidP="00E47313">
      <w:pPr>
        <w:numPr>
          <w:ilvl w:val="0"/>
          <w:numId w:val="6"/>
        </w:num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Karolina </w:t>
      </w:r>
      <w:proofErr w:type="spellStart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>Mitraszewska</w:t>
      </w:r>
      <w:proofErr w:type="spellEnd"/>
      <w:r w:rsidRPr="00E4731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Wiceprezes Zarządu,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Bank</w:t>
      </w:r>
    </w:p>
    <w:p w:rsidR="00E47313" w:rsidRPr="00E47313" w:rsidRDefault="00E47313" w:rsidP="00E4731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313" w:rsidRDefault="00E47313" w:rsidP="00E473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7313">
        <w:rPr>
          <w:rFonts w:ascii="Arial" w:eastAsia="Times New Roman" w:hAnsi="Arial" w:cs="Arial"/>
          <w:color w:val="000000"/>
          <w:lang w:eastAsia="pl-PL"/>
        </w:rPr>
        <w:t xml:space="preserve">Banking &amp; </w:t>
      </w:r>
      <w:proofErr w:type="spellStart"/>
      <w:r w:rsidRPr="00E47313">
        <w:rPr>
          <w:rFonts w:ascii="Arial" w:eastAsia="Times New Roman" w:hAnsi="Arial" w:cs="Arial"/>
          <w:color w:val="000000"/>
          <w:lang w:eastAsia="pl-PL"/>
        </w:rPr>
        <w:t>Insurance</w:t>
      </w:r>
      <w:proofErr w:type="spellEnd"/>
      <w:r w:rsidRPr="00E47313">
        <w:rPr>
          <w:rFonts w:ascii="Arial" w:eastAsia="Times New Roman" w:hAnsi="Arial" w:cs="Arial"/>
          <w:color w:val="000000"/>
          <w:lang w:eastAsia="pl-PL"/>
        </w:rPr>
        <w:t xml:space="preserve"> Forum jest cyklicznym spotkaniem skupiającym kluczowe osobistości i spółki z sektora bankowego i ubezpieczeniowego. Jest on doskonałą okazją do debat dotyczących najistotniejszych kwestii, problemów, szans i wyzwań dla wszystkich zainteresowanych tym, co dzieje się i będzie się dziać w branży usług finansowych. </w:t>
      </w:r>
    </w:p>
    <w:p w:rsidR="00E47313" w:rsidRPr="00E47313" w:rsidRDefault="00E47313" w:rsidP="00E47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528" w:rsidRPr="00E47313" w:rsidRDefault="00E47313" w:rsidP="00E47313">
      <w:pPr>
        <w:spacing w:line="360" w:lineRule="auto"/>
      </w:pPr>
      <w:r w:rsidRPr="00E47313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</w:t>
      </w:r>
      <w:r w:rsidRPr="00E47313">
        <w:rPr>
          <w:rFonts w:ascii="Arial" w:eastAsia="Times New Roman" w:hAnsi="Arial" w:cs="Arial"/>
          <w:color w:val="000000"/>
          <w:lang w:eastAsia="pl-PL"/>
        </w:rPr>
        <w:t xml:space="preserve">Więcej na </w:t>
      </w:r>
      <w:hyperlink r:id="rId7" w:history="1">
        <w:r w:rsidRPr="00E47313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E47313">
        <w:rPr>
          <w:rFonts w:ascii="Arial" w:eastAsia="Times New Roman" w:hAnsi="Arial" w:cs="Arial"/>
          <w:color w:val="000000"/>
          <w:lang w:eastAsia="pl-PL"/>
        </w:rPr>
        <w:t>.</w:t>
      </w:r>
    </w:p>
    <w:sectPr w:rsidR="007C4528" w:rsidRPr="00E4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F42"/>
    <w:multiLevelType w:val="multilevel"/>
    <w:tmpl w:val="C63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5EE5"/>
    <w:multiLevelType w:val="multilevel"/>
    <w:tmpl w:val="61C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A5685"/>
    <w:multiLevelType w:val="multilevel"/>
    <w:tmpl w:val="08E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90E1B"/>
    <w:multiLevelType w:val="multilevel"/>
    <w:tmpl w:val="A46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119A3"/>
    <w:multiLevelType w:val="multilevel"/>
    <w:tmpl w:val="5C1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E3580"/>
    <w:multiLevelType w:val="multilevel"/>
    <w:tmpl w:val="786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D3"/>
    <w:rsid w:val="00740B62"/>
    <w:rsid w:val="007C4528"/>
    <w:rsid w:val="00882CD3"/>
    <w:rsid w:val="00BC7780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270F"/>
  <w15:chartTrackingRefBased/>
  <w15:docId w15:val="{3EC0B560-ABCA-4024-A920-CB28F46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7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c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owosciubezpieczenia.pl/prelegenci/" TargetMode="External"/><Relationship Id="rId5" Type="http://schemas.openxmlformats.org/officeDocument/2006/relationships/hyperlink" Target="https://bankowosciubezpieczeni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7</cp:revision>
  <dcterms:created xsi:type="dcterms:W3CDTF">2024-01-22T12:24:00Z</dcterms:created>
  <dcterms:modified xsi:type="dcterms:W3CDTF">2024-03-22T07:26:00Z</dcterms:modified>
</cp:coreProperties>
</file>